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pacing w:line="580" w:lineRule="exact"/>
        <w:ind w:firstLine="0" w:firstLineChars="0"/>
        <w:jc w:val="both"/>
        <w:textAlignment w:val="auto"/>
        <w:rPr>
          <w:rFonts w:hint="eastAsia" w:ascii="宋体" w:hAnsi="宋体" w:eastAsia="仿宋_GB2312" w:cs="仿宋_GB2312"/>
          <w:color w:val="000000"/>
          <w:sz w:val="32"/>
          <w:szCs w:val="32"/>
          <w:highlight w:val="none"/>
          <w:lang w:val="en-US" w:eastAsia="zh-CN"/>
        </w:rPr>
      </w:pPr>
      <w:r>
        <w:rPr>
          <w:rFonts w:hint="eastAsia" w:ascii="宋体" w:hAnsi="宋体" w:eastAsia="仿宋_GB2312" w:cs="仿宋_GB2312"/>
          <w:color w:val="000000"/>
          <w:sz w:val="32"/>
          <w:szCs w:val="32"/>
          <w:highlight w:val="none"/>
          <w:lang w:eastAsia="zh-CN"/>
        </w:rPr>
        <w:t>附件</w:t>
      </w:r>
      <w:bookmarkStart w:id="0" w:name="_GoBack"/>
      <w:bookmarkEnd w:id="0"/>
    </w:p>
    <w:p>
      <w:pPr>
        <w:keepNext w:val="0"/>
        <w:keepLines w:val="0"/>
        <w:pageBreakBefore w:val="0"/>
        <w:widowControl w:val="0"/>
        <w:kinsoku/>
        <w:wordWrap/>
        <w:overflowPunct/>
        <w:topLinePunct w:val="0"/>
        <w:autoSpaceDE/>
        <w:autoSpaceDN/>
        <w:bidi w:val="0"/>
        <w:adjustRightInd/>
        <w:spacing w:line="580" w:lineRule="exact"/>
        <w:ind w:firstLine="0" w:firstLineChars="0"/>
        <w:jc w:val="center"/>
        <w:textAlignment w:val="auto"/>
        <w:rPr>
          <w:rFonts w:hint="default" w:ascii="宋体" w:hAnsi="宋体" w:eastAsia="方正小标宋简体" w:cs="Times New Roman"/>
          <w:color w:val="000000"/>
          <w:sz w:val="44"/>
          <w:szCs w:val="44"/>
          <w:highlight w:val="none"/>
          <w:lang w:eastAsia="zh-CN"/>
        </w:rPr>
      </w:pPr>
    </w:p>
    <w:p>
      <w:pPr>
        <w:keepNext w:val="0"/>
        <w:keepLines w:val="0"/>
        <w:pageBreakBefore w:val="0"/>
        <w:widowControl w:val="0"/>
        <w:kinsoku/>
        <w:wordWrap/>
        <w:overflowPunct/>
        <w:topLinePunct w:val="0"/>
        <w:autoSpaceDE/>
        <w:autoSpaceDN/>
        <w:bidi w:val="0"/>
        <w:adjustRightInd/>
        <w:spacing w:line="580" w:lineRule="exact"/>
        <w:ind w:firstLine="0" w:firstLineChars="0"/>
        <w:jc w:val="center"/>
        <w:textAlignment w:val="auto"/>
        <w:rPr>
          <w:rFonts w:hint="default" w:ascii="宋体" w:hAnsi="宋体" w:eastAsia="方正小标宋简体" w:cs="Times New Roman"/>
          <w:color w:val="000000"/>
          <w:sz w:val="44"/>
          <w:szCs w:val="44"/>
          <w:highlight w:val="none"/>
          <w:lang w:eastAsia="zh-CN"/>
        </w:rPr>
      </w:pPr>
      <w:r>
        <w:rPr>
          <w:rFonts w:hint="default" w:ascii="宋体" w:hAnsi="宋体" w:eastAsia="方正小标宋简体" w:cs="Times New Roman"/>
          <w:color w:val="000000"/>
          <w:sz w:val="44"/>
          <w:szCs w:val="44"/>
          <w:highlight w:val="none"/>
          <w:lang w:eastAsia="zh-CN"/>
        </w:rPr>
        <w:t>威海市医疗保障局</w:t>
      </w:r>
    </w:p>
    <w:p>
      <w:pPr>
        <w:keepNext w:val="0"/>
        <w:keepLines w:val="0"/>
        <w:pageBreakBefore w:val="0"/>
        <w:widowControl w:val="0"/>
        <w:kinsoku/>
        <w:wordWrap/>
        <w:overflowPunct/>
        <w:topLinePunct w:val="0"/>
        <w:autoSpaceDE/>
        <w:autoSpaceDN/>
        <w:bidi w:val="0"/>
        <w:adjustRightInd/>
        <w:spacing w:line="580" w:lineRule="exact"/>
        <w:ind w:firstLine="0" w:firstLineChars="0"/>
        <w:jc w:val="center"/>
        <w:textAlignment w:val="auto"/>
        <w:rPr>
          <w:rFonts w:hint="default" w:ascii="宋体" w:hAnsi="宋体" w:eastAsia="方正小标宋简体" w:cs="Times New Roman"/>
          <w:color w:val="000000"/>
          <w:sz w:val="44"/>
          <w:szCs w:val="44"/>
          <w:highlight w:val="none"/>
          <w:lang w:eastAsia="zh-CN"/>
        </w:rPr>
      </w:pPr>
      <w:r>
        <w:rPr>
          <w:rFonts w:hint="default" w:ascii="宋体" w:hAnsi="宋体" w:eastAsia="方正小标宋简体" w:cs="Times New Roman"/>
          <w:color w:val="000000"/>
          <w:sz w:val="44"/>
          <w:szCs w:val="44"/>
          <w:highlight w:val="none"/>
          <w:lang w:eastAsia="zh-CN"/>
        </w:rPr>
        <w:t>关于调整部分医疗服务项目价格的通知</w:t>
      </w:r>
    </w:p>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default" w:ascii="宋体" w:hAnsi="宋体" w:eastAsia="楷体_GB2312" w:cs="Times New Roman"/>
          <w:color w:val="000000"/>
          <w:sz w:val="32"/>
          <w:szCs w:val="32"/>
          <w:highlight w:val="none"/>
          <w:lang w:eastAsia="zh-CN"/>
        </w:rPr>
      </w:pPr>
      <w:r>
        <w:rPr>
          <w:rFonts w:hint="default" w:ascii="宋体" w:hAnsi="宋体" w:eastAsia="楷体_GB2312" w:cs="Times New Roman"/>
          <w:color w:val="000000"/>
          <w:sz w:val="32"/>
          <w:szCs w:val="32"/>
          <w:highlight w:val="none"/>
          <w:lang w:eastAsia="zh-CN"/>
        </w:rPr>
        <w:t>（</w:t>
      </w:r>
      <w:r>
        <w:rPr>
          <w:rFonts w:hint="eastAsia" w:ascii="宋体" w:hAnsi="宋体" w:eastAsia="楷体_GB2312" w:cs="Times New Roman"/>
          <w:color w:val="000000"/>
          <w:sz w:val="32"/>
          <w:szCs w:val="32"/>
          <w:highlight w:val="none"/>
          <w:lang w:eastAsia="zh-CN"/>
        </w:rPr>
        <w:t>征求意见稿</w:t>
      </w:r>
      <w:r>
        <w:rPr>
          <w:rFonts w:hint="default" w:ascii="宋体" w:hAnsi="宋体" w:eastAsia="楷体_GB2312" w:cs="Times New Roman"/>
          <w:color w:val="000000"/>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default" w:ascii="宋体" w:hAnsi="宋体" w:eastAsia="楷体_GB2312" w:cs="Times New Roman"/>
          <w:color w:val="00000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各区市医疗保障局、国家级开发区科技创新局，市医疗保险事业中心，各有关医疗机构：</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default" w:ascii="宋体" w:hAnsi="宋体" w:eastAsia="仿宋_GB2312" w:cs="Times New Roman"/>
          <w:color w:val="000000"/>
          <w:sz w:val="32"/>
          <w:szCs w:val="32"/>
          <w:highlight w:val="none"/>
          <w:shd w:val="clear" w:color="auto" w:fill="auto"/>
          <w:lang w:val="en-US" w:eastAsia="zh-CN"/>
        </w:rPr>
      </w:pPr>
      <w:r>
        <w:rPr>
          <w:rFonts w:hint="default" w:ascii="宋体" w:hAnsi="宋体" w:eastAsia="仿宋_GB2312" w:cs="Times New Roman"/>
          <w:color w:val="000000"/>
          <w:sz w:val="32"/>
          <w:szCs w:val="32"/>
          <w:highlight w:val="none"/>
          <w:shd w:val="clear" w:color="auto" w:fill="auto"/>
          <w:lang w:val="en-US" w:eastAsia="zh-CN"/>
        </w:rPr>
        <w:t>为</w:t>
      </w:r>
      <w:r>
        <w:rPr>
          <w:rFonts w:hint="eastAsia" w:ascii="宋体" w:hAnsi="宋体" w:cs="Times New Roman"/>
          <w:color w:val="000000"/>
          <w:sz w:val="32"/>
          <w:szCs w:val="32"/>
          <w:highlight w:val="none"/>
          <w:shd w:val="clear" w:color="auto" w:fill="auto"/>
          <w:lang w:val="en-US" w:eastAsia="zh-CN"/>
        </w:rPr>
        <w:t>进一步</w:t>
      </w:r>
      <w:r>
        <w:rPr>
          <w:rFonts w:hint="default" w:ascii="宋体" w:hAnsi="宋体" w:eastAsia="仿宋_GB2312" w:cs="Times New Roman"/>
          <w:color w:val="000000"/>
          <w:sz w:val="32"/>
          <w:szCs w:val="32"/>
          <w:highlight w:val="none"/>
          <w:shd w:val="clear" w:color="auto" w:fill="auto"/>
          <w:lang w:val="en-US" w:eastAsia="zh-CN"/>
        </w:rPr>
        <w:t>优化医疗服务价格结构，加大对技术劳务价值支持力度，根据山东省医疗保障局《关于调整部分医疗服务项目价格的通知》（鲁医保发〔</w:t>
      </w:r>
      <w:r>
        <w:rPr>
          <w:rFonts w:hint="default" w:ascii="宋体" w:hAnsi="宋体" w:eastAsia="仿宋_GB2312" w:cs="Times New Roman"/>
          <w:color w:val="000000"/>
          <w:sz w:val="32"/>
          <w:szCs w:val="32"/>
          <w:highlight w:val="none"/>
          <w:lang w:val="en-US" w:eastAsia="zh-CN"/>
        </w:rPr>
        <w:t>202</w:t>
      </w:r>
      <w:r>
        <w:rPr>
          <w:rFonts w:hint="eastAsia" w:ascii="宋体" w:hAnsi="宋体" w:cs="Times New Roman"/>
          <w:color w:val="000000"/>
          <w:sz w:val="32"/>
          <w:szCs w:val="32"/>
          <w:highlight w:val="none"/>
          <w:lang w:val="en-US" w:eastAsia="zh-CN"/>
        </w:rPr>
        <w:t>5</w:t>
      </w:r>
      <w:r>
        <w:rPr>
          <w:rFonts w:hint="default" w:ascii="宋体" w:hAnsi="宋体" w:eastAsia="仿宋_GB2312" w:cs="Times New Roman"/>
          <w:color w:val="000000"/>
          <w:sz w:val="32"/>
          <w:szCs w:val="32"/>
          <w:highlight w:val="none"/>
          <w:lang w:val="en-US" w:eastAsia="zh-CN"/>
        </w:rPr>
        <w:t>〕</w:t>
      </w:r>
      <w:r>
        <w:rPr>
          <w:rFonts w:hint="default" w:ascii="宋体" w:hAnsi="宋体" w:cs="Times New Roman"/>
          <w:color w:val="000000"/>
          <w:sz w:val="32"/>
          <w:szCs w:val="32"/>
          <w:highlight w:val="none"/>
          <w:lang w:eastAsia="zh-CN"/>
        </w:rPr>
        <w:t>36</w:t>
      </w:r>
      <w:r>
        <w:rPr>
          <w:rFonts w:hint="default" w:ascii="宋体" w:hAnsi="宋体" w:eastAsia="仿宋_GB2312" w:cs="Times New Roman"/>
          <w:color w:val="000000"/>
          <w:sz w:val="32"/>
          <w:szCs w:val="32"/>
          <w:highlight w:val="none"/>
          <w:lang w:val="en-US" w:eastAsia="zh-CN"/>
        </w:rPr>
        <w:t>号）</w:t>
      </w:r>
      <w:r>
        <w:rPr>
          <w:rFonts w:hint="eastAsia" w:ascii="宋体" w:hAnsi="宋体" w:cs="Times New Roman"/>
          <w:color w:val="000000"/>
          <w:sz w:val="32"/>
          <w:szCs w:val="32"/>
          <w:highlight w:val="none"/>
          <w:lang w:val="en-US" w:eastAsia="zh-CN"/>
        </w:rPr>
        <w:t>等</w:t>
      </w:r>
      <w:r>
        <w:rPr>
          <w:rFonts w:hint="default" w:ascii="宋体" w:hAnsi="宋体" w:eastAsia="仿宋_GB2312" w:cs="Times New Roman"/>
          <w:color w:val="000000"/>
          <w:sz w:val="32"/>
          <w:szCs w:val="32"/>
          <w:highlight w:val="none"/>
          <w:lang w:val="en-US" w:eastAsia="zh-CN"/>
        </w:rPr>
        <w:t>规定，经研究，</w:t>
      </w:r>
      <w:r>
        <w:rPr>
          <w:rFonts w:hint="default" w:ascii="宋体" w:hAnsi="宋体" w:eastAsia="仿宋_GB2312" w:cs="Times New Roman"/>
          <w:color w:val="000000"/>
          <w:sz w:val="32"/>
          <w:szCs w:val="32"/>
          <w:highlight w:val="none"/>
          <w:shd w:val="clear" w:color="auto" w:fill="auto"/>
          <w:lang w:val="en-US" w:eastAsia="zh-CN"/>
        </w:rPr>
        <w:t>决定</w:t>
      </w:r>
      <w:r>
        <w:rPr>
          <w:rFonts w:hint="default" w:ascii="宋体" w:hAnsi="宋体" w:cs="Times New Roman"/>
          <w:color w:val="000000"/>
          <w:sz w:val="32"/>
          <w:szCs w:val="32"/>
          <w:highlight w:val="none"/>
          <w:shd w:val="clear" w:color="auto" w:fill="auto"/>
          <w:lang w:val="en-US" w:eastAsia="zh-CN"/>
        </w:rPr>
        <w:t>调整理顺部分医疗服务项目价格</w:t>
      </w:r>
      <w:r>
        <w:rPr>
          <w:rFonts w:hint="default" w:ascii="宋体" w:hAnsi="宋体" w:cs="Times New Roman"/>
          <w:b w:val="0"/>
          <w:bCs w:val="0"/>
          <w:color w:val="000000"/>
          <w:kern w:val="2"/>
          <w:sz w:val="32"/>
          <w:szCs w:val="32"/>
          <w:highlight w:val="none"/>
          <w:shd w:val="clear" w:color="auto" w:fill="auto"/>
          <w:lang w:val="en-US" w:eastAsia="zh-CN" w:bidi="ar-SA"/>
        </w:rPr>
        <w:t>，</w:t>
      </w:r>
      <w:r>
        <w:rPr>
          <w:rFonts w:hint="default" w:ascii="宋体" w:hAnsi="宋体" w:eastAsia="仿宋_GB2312" w:cs="Times New Roman"/>
          <w:color w:val="000000"/>
          <w:sz w:val="32"/>
          <w:szCs w:val="32"/>
          <w:highlight w:val="none"/>
          <w:shd w:val="clear" w:color="auto" w:fill="auto"/>
          <w:lang w:val="en-US" w:eastAsia="zh-CN"/>
        </w:rPr>
        <w:t>现将有关事项通知如下。</w:t>
      </w:r>
    </w:p>
    <w:p>
      <w:pPr>
        <w:keepNext w:val="0"/>
        <w:keepLines w:val="0"/>
        <w:pageBreakBefore w:val="0"/>
        <w:widowControl w:val="0"/>
        <w:numPr>
          <w:ilvl w:val="0"/>
          <w:numId w:val="1"/>
        </w:numPr>
        <w:kinsoku/>
        <w:wordWrap/>
        <w:overflowPunct/>
        <w:topLinePunct w:val="0"/>
        <w:autoSpaceDE/>
        <w:autoSpaceDN/>
        <w:bidi w:val="0"/>
        <w:adjustRightInd/>
        <w:spacing w:line="580" w:lineRule="exact"/>
        <w:ind w:firstLine="640" w:firstLineChars="200"/>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按照省文件规定，</w:t>
      </w:r>
      <w:r>
        <w:rPr>
          <w:rFonts w:hint="default" w:ascii="宋体" w:hAnsi="宋体" w:cs="Times New Roman"/>
          <w:color w:val="000000"/>
          <w:sz w:val="32"/>
          <w:szCs w:val="32"/>
          <w:highlight w:val="none"/>
          <w:lang w:val="en-US" w:eastAsia="zh-CN"/>
        </w:rPr>
        <w:t>调整</w:t>
      </w:r>
      <w:r>
        <w:rPr>
          <w:rFonts w:hint="default" w:ascii="宋体" w:hAnsi="宋体" w:eastAsia="仿宋_GB2312" w:cs="Times New Roman"/>
          <w:color w:val="000000"/>
          <w:sz w:val="32"/>
          <w:szCs w:val="32"/>
          <w:highlight w:val="none"/>
          <w:lang w:val="en-US" w:eastAsia="zh-CN"/>
        </w:rPr>
        <w:t>部分</w:t>
      </w:r>
      <w:r>
        <w:rPr>
          <w:rFonts w:hint="default" w:ascii="宋体" w:hAnsi="宋体" w:cs="Times New Roman"/>
          <w:color w:val="000000"/>
          <w:sz w:val="32"/>
          <w:szCs w:val="32"/>
          <w:highlight w:val="none"/>
          <w:lang w:val="en-US" w:eastAsia="zh-CN"/>
        </w:rPr>
        <w:t>医疗服务项目价格</w:t>
      </w:r>
      <w:r>
        <w:rPr>
          <w:rFonts w:hint="default" w:ascii="宋体" w:hAnsi="宋体" w:eastAsia="仿宋_GB2312" w:cs="Times New Roman"/>
          <w:color w:val="000000"/>
          <w:sz w:val="32"/>
          <w:szCs w:val="32"/>
          <w:highlight w:val="none"/>
          <w:lang w:val="en-US" w:eastAsia="zh-CN"/>
        </w:rPr>
        <w:t>，具体详见附件。纳入医保支付范围的医疗服务项目，按医疗机构级别执行相应的医保支付政策。</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default" w:ascii="宋体" w:hAnsi="宋体" w:eastAsia="仿宋_GB2312" w:cs="Times New Roman"/>
          <w:color w:val="000000"/>
          <w:sz w:val="32"/>
          <w:szCs w:val="32"/>
          <w:highlight w:val="none"/>
          <w:lang w:val="en-US" w:eastAsia="zh-CN"/>
        </w:rPr>
      </w:pPr>
      <w:r>
        <w:rPr>
          <w:rFonts w:hint="default" w:ascii="宋体" w:hAnsi="宋体" w:cs="Times New Roman"/>
          <w:color w:val="000000"/>
          <w:sz w:val="32"/>
          <w:szCs w:val="32"/>
          <w:highlight w:val="none"/>
          <w:lang w:val="en-US" w:eastAsia="zh-CN"/>
        </w:rPr>
        <w:t>二</w:t>
      </w:r>
      <w:r>
        <w:rPr>
          <w:rFonts w:hint="default" w:ascii="宋体" w:hAnsi="宋体" w:eastAsia="仿宋_GB2312" w:cs="Times New Roman"/>
          <w:color w:val="000000"/>
          <w:sz w:val="32"/>
          <w:szCs w:val="32"/>
          <w:highlight w:val="none"/>
          <w:lang w:val="en-US" w:eastAsia="zh-CN"/>
        </w:rPr>
        <w:t>、医疗机构应在服务场所的显著位置公示医疗服务项目名称、编码、内涵、计价单位和价格等内容，自觉接受主管部门和社会监督。医保经办机构应及时做好系统更新维护，确保政策顺利实施。</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default" w:ascii="宋体" w:hAnsi="宋体" w:eastAsia="仿宋_GB2312" w:cs="Times New Roman"/>
          <w:color w:val="000000"/>
          <w:sz w:val="32"/>
          <w:szCs w:val="32"/>
          <w:highlight w:val="none"/>
          <w:lang w:val="en-US" w:eastAsia="zh-CN"/>
        </w:rPr>
      </w:pPr>
      <w:r>
        <w:rPr>
          <w:rFonts w:hint="default" w:ascii="宋体" w:hAnsi="宋体" w:cs="Times New Roman"/>
          <w:color w:val="000000"/>
          <w:sz w:val="32"/>
          <w:szCs w:val="32"/>
          <w:highlight w:val="none"/>
          <w:lang w:val="en-US" w:eastAsia="zh-CN"/>
        </w:rPr>
        <w:t>三</w:t>
      </w:r>
      <w:r>
        <w:rPr>
          <w:rFonts w:hint="default" w:ascii="宋体" w:hAnsi="宋体" w:eastAsia="仿宋_GB2312" w:cs="Times New Roman"/>
          <w:color w:val="000000"/>
          <w:sz w:val="32"/>
          <w:szCs w:val="32"/>
          <w:highlight w:val="none"/>
          <w:lang w:val="en-US" w:eastAsia="zh-CN"/>
        </w:rPr>
        <w:t>、本通知自202</w:t>
      </w:r>
      <w:r>
        <w:rPr>
          <w:rFonts w:hint="eastAsia" w:ascii="宋体" w:hAnsi="宋体" w:cs="Times New Roman"/>
          <w:color w:val="000000"/>
          <w:sz w:val="32"/>
          <w:szCs w:val="32"/>
          <w:highlight w:val="none"/>
          <w:lang w:val="en-US" w:eastAsia="zh-CN"/>
        </w:rPr>
        <w:t>6</w:t>
      </w:r>
      <w:r>
        <w:rPr>
          <w:rFonts w:hint="default" w:ascii="宋体" w:hAnsi="宋体" w:eastAsia="仿宋_GB2312" w:cs="Times New Roman"/>
          <w:color w:val="000000"/>
          <w:sz w:val="32"/>
          <w:szCs w:val="32"/>
          <w:highlight w:val="none"/>
          <w:lang w:val="en-US" w:eastAsia="zh-CN"/>
        </w:rPr>
        <w:t>年</w:t>
      </w:r>
      <w:r>
        <w:rPr>
          <w:rFonts w:hint="eastAsia" w:ascii="宋体" w:hAnsi="宋体" w:cs="Times New Roman"/>
          <w:color w:val="000000"/>
          <w:sz w:val="32"/>
          <w:szCs w:val="32"/>
          <w:highlight w:val="none"/>
          <w:lang w:val="en-US" w:eastAsia="zh-CN"/>
        </w:rPr>
        <w:t>4</w:t>
      </w:r>
      <w:r>
        <w:rPr>
          <w:rFonts w:hint="default" w:ascii="宋体" w:hAnsi="宋体" w:eastAsia="仿宋_GB2312" w:cs="Times New Roman"/>
          <w:color w:val="000000"/>
          <w:sz w:val="32"/>
          <w:szCs w:val="32"/>
          <w:highlight w:val="none"/>
          <w:lang w:val="en-US" w:eastAsia="zh-CN"/>
        </w:rPr>
        <w:t>月</w:t>
      </w:r>
      <w:r>
        <w:rPr>
          <w:rFonts w:hint="eastAsia" w:ascii="宋体" w:hAnsi="宋体" w:cs="Times New Roman"/>
          <w:color w:val="000000"/>
          <w:sz w:val="32"/>
          <w:szCs w:val="32"/>
          <w:highlight w:val="none"/>
          <w:lang w:val="en-US" w:eastAsia="zh-CN"/>
        </w:rPr>
        <w:t>1</w:t>
      </w:r>
      <w:r>
        <w:rPr>
          <w:rFonts w:hint="default" w:ascii="宋体" w:hAnsi="宋体" w:eastAsia="仿宋_GB2312" w:cs="Times New Roman"/>
          <w:color w:val="000000"/>
          <w:sz w:val="32"/>
          <w:szCs w:val="32"/>
          <w:highlight w:val="none"/>
          <w:lang w:val="en-US" w:eastAsia="zh-CN"/>
        </w:rPr>
        <w:t>日起施行。此前有关规定凡与本通知不一致的，以本通知规定为准。</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jc w:val="left"/>
        <w:textAlignment w:val="auto"/>
        <w:rPr>
          <w:rFonts w:hint="default" w:ascii="宋体" w:hAnsi="宋体" w:eastAsia="仿宋_GB2312" w:cs="Times New Roman"/>
          <w:color w:val="00000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640" w:firstLineChars="200"/>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附件：威海市公立医疗机构部分医疗服务项目价格表</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jc w:val="right"/>
        <w:textAlignment w:val="auto"/>
        <w:rPr>
          <w:rFonts w:hint="default" w:ascii="宋体" w:hAnsi="宋体" w:eastAsia="仿宋_GB2312" w:cs="Times New Roman"/>
          <w:color w:val="00000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jc w:val="right"/>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4800" w:firstLineChars="1500"/>
        <w:jc w:val="both"/>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威海市医疗保障局</w:t>
      </w:r>
      <w:r>
        <w:rPr>
          <w:rFonts w:hint="eastAsia" w:ascii="宋体" w:hAnsi="宋体" w:cs="Times New Roman"/>
          <w:color w:val="000000"/>
          <w:sz w:val="32"/>
          <w:szCs w:val="32"/>
          <w:highlight w:val="non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jc w:val="center"/>
        <w:textAlignment w:val="auto"/>
        <w:rPr>
          <w:rFonts w:hint="default" w:ascii="宋体" w:hAnsi="宋体" w:eastAsia="仿宋_GB2312" w:cs="Times New Roman"/>
          <w:color w:val="000000"/>
          <w:sz w:val="32"/>
          <w:szCs w:val="32"/>
          <w:highlight w:val="none"/>
          <w:lang w:val="en-US" w:eastAsia="zh-CN"/>
        </w:rPr>
      </w:pPr>
      <w:r>
        <w:rPr>
          <w:rFonts w:hint="eastAsia" w:ascii="宋体" w:hAnsi="宋体" w:cs="Times New Roman"/>
          <w:color w:val="000000"/>
          <w:sz w:val="32"/>
          <w:szCs w:val="32"/>
          <w:highlight w:val="none"/>
          <w:lang w:val="en-US" w:eastAsia="zh-CN"/>
        </w:rPr>
        <w:t xml:space="preserve">       </w:t>
      </w:r>
      <w:r>
        <w:rPr>
          <w:rFonts w:hint="default" w:ascii="宋体" w:hAnsi="宋体" w:eastAsia="仿宋_GB2312" w:cs="Times New Roman"/>
          <w:color w:val="000000"/>
          <w:sz w:val="32"/>
          <w:szCs w:val="32"/>
          <w:highlight w:val="none"/>
          <w:lang w:val="en-US" w:eastAsia="zh-CN"/>
        </w:rPr>
        <w:t xml:space="preserve">              2026年</w:t>
      </w:r>
      <w:r>
        <w:rPr>
          <w:rFonts w:hint="default" w:ascii="宋体" w:hAnsi="宋体" w:cs="Times New Roman"/>
          <w:color w:val="000000"/>
          <w:sz w:val="32"/>
          <w:szCs w:val="32"/>
          <w:highlight w:val="none"/>
          <w:lang w:val="en" w:eastAsia="zh-CN"/>
        </w:rPr>
        <w:t>2</w:t>
      </w:r>
      <w:r>
        <w:rPr>
          <w:rFonts w:hint="default" w:ascii="宋体" w:hAnsi="宋体" w:eastAsia="仿宋_GB2312" w:cs="Times New Roman"/>
          <w:color w:val="000000"/>
          <w:sz w:val="32"/>
          <w:szCs w:val="32"/>
          <w:highlight w:val="none"/>
          <w:lang w:val="en-US" w:eastAsia="zh-CN"/>
        </w:rPr>
        <w:t>月 日</w:t>
      </w: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textAlignment w:val="auto"/>
        <w:rPr>
          <w:rFonts w:hint="default" w:ascii="宋体" w:hAnsi="宋体" w:eastAsia="仿宋_GB2312" w:cs="Times New Roman"/>
          <w:color w:val="000000"/>
          <w:sz w:val="32"/>
          <w:szCs w:val="32"/>
          <w:highlight w:val="none"/>
          <w:lang w:val="en-US" w:eastAsia="zh-CN"/>
        </w:rPr>
      </w:pPr>
    </w:p>
    <w:p>
      <w:pPr>
        <w:pStyle w:val="2"/>
        <w:keepNext w:val="0"/>
        <w:keepLines w:val="0"/>
        <w:pageBreakBefore w:val="0"/>
        <w:widowControl w:val="0"/>
        <w:kinsoku/>
        <w:wordWrap/>
        <w:overflowPunct/>
        <w:topLinePunct w:val="0"/>
        <w:autoSpaceDE/>
        <w:autoSpaceDN/>
        <w:bidi w:val="0"/>
        <w:adjustRightInd/>
        <w:spacing w:line="580" w:lineRule="exact"/>
        <w:rPr>
          <w:rFonts w:hint="default" w:ascii="宋体" w:hAnsi="宋体" w:eastAsia="仿宋_GB2312" w:cs="Times New Roman"/>
          <w:color w:val="000000"/>
          <w:sz w:val="32"/>
          <w:szCs w:val="32"/>
          <w:highlight w:val="none"/>
          <w:lang w:val="en-US" w:eastAsia="zh-CN"/>
        </w:rPr>
      </w:pPr>
    </w:p>
    <w:p>
      <w:pPr>
        <w:pStyle w:val="2"/>
        <w:rPr>
          <w:rFonts w:hint="default" w:ascii="宋体" w:hAnsi="宋体" w:eastAsia="仿宋_GB2312" w:cs="Times New Roman"/>
          <w:color w:val="000000"/>
          <w:sz w:val="32"/>
          <w:szCs w:val="32"/>
          <w:highlight w:val="none"/>
          <w:lang w:val="en-US" w:eastAsia="zh-CN"/>
        </w:rPr>
      </w:pPr>
    </w:p>
    <w:p>
      <w:pPr>
        <w:rPr>
          <w:rFonts w:hint="default" w:ascii="宋体" w:hAnsi="宋体" w:eastAsia="仿宋_GB2312" w:cs="Times New Roman"/>
          <w:color w:val="000000"/>
          <w:sz w:val="32"/>
          <w:szCs w:val="32"/>
          <w:highlight w:val="none"/>
          <w:lang w:val="en-US" w:eastAsia="zh-CN"/>
        </w:rPr>
      </w:pPr>
    </w:p>
    <w:p>
      <w:pPr>
        <w:pStyle w:val="2"/>
        <w:rPr>
          <w:rFonts w:hint="default" w:ascii="宋体" w:hAnsi="宋体"/>
          <w:color w:val="000000"/>
          <w:highlight w:val="none"/>
          <w:lang w:val="en-US" w:eastAsia="zh-CN"/>
        </w:rPr>
      </w:pPr>
    </w:p>
    <w:p>
      <w:pPr>
        <w:pStyle w:val="2"/>
        <w:rPr>
          <w:rFonts w:hint="default" w:ascii="宋体" w:hAnsi="宋体"/>
          <w:color w:val="000000"/>
          <w:highlight w:val="none"/>
          <w:lang w:val="en-US" w:eastAsia="zh-CN"/>
        </w:rPr>
      </w:pPr>
    </w:p>
    <w:p>
      <w:pPr>
        <w:pStyle w:val="2"/>
        <w:keepNext w:val="0"/>
        <w:keepLines w:val="0"/>
        <w:pageBreakBefore w:val="0"/>
        <w:widowControl w:val="0"/>
        <w:kinsoku/>
        <w:wordWrap/>
        <w:overflowPunct/>
        <w:topLinePunct w:val="0"/>
        <w:autoSpaceDE/>
        <w:autoSpaceDN/>
        <w:bidi w:val="0"/>
        <w:adjustRightInd/>
        <w:spacing w:line="580" w:lineRule="exact"/>
        <w:rPr>
          <w:rFonts w:hint="default" w:ascii="宋体" w:hAnsi="宋体" w:cs="Times New Roman"/>
          <w:color w:val="000000"/>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pacing w:line="580" w:lineRule="exact"/>
        <w:ind w:firstLine="0" w:firstLineChars="0"/>
        <w:textAlignment w:val="auto"/>
        <w:rPr>
          <w:rFonts w:hint="default" w:ascii="宋体" w:hAnsi="宋体" w:eastAsia="仿宋_GB2312" w:cs="Times New Roman"/>
          <w:color w:val="000000"/>
          <w:sz w:val="32"/>
          <w:szCs w:val="32"/>
          <w:highlight w:val="none"/>
          <w:lang w:val="en-US" w:eastAsia="zh-CN"/>
        </w:rPr>
      </w:pPr>
      <w:r>
        <w:rPr>
          <w:rFonts w:hint="default" w:ascii="宋体" w:hAnsi="宋体" w:eastAsia="仿宋_GB2312" w:cs="Times New Roman"/>
          <w:color w:val="000000"/>
          <w:sz w:val="32"/>
          <w:szCs w:val="32"/>
          <w:highlight w:val="none"/>
          <w:lang w:val="en-US" w:eastAsia="zh-CN"/>
        </w:rPr>
        <w:t xml:space="preserve">  （此件主动公开）</w:t>
      </w:r>
    </w:p>
    <w:p>
      <w:pPr>
        <w:pStyle w:val="2"/>
        <w:rPr>
          <w:rFonts w:hint="default" w:ascii="宋体" w:hAnsi="宋体" w:eastAsia="仿宋_GB2312" w:cs="Times New Roman"/>
          <w:color w:val="000000"/>
          <w:sz w:val="32"/>
          <w:szCs w:val="32"/>
          <w:highlight w:val="none"/>
          <w:lang w:val="en-US" w:eastAsia="zh-CN"/>
        </w:rPr>
      </w:pPr>
    </w:p>
    <w:p>
      <w:pPr>
        <w:rPr>
          <w:rFonts w:hint="default" w:ascii="宋体" w:hAnsi="宋体" w:eastAsia="仿宋_GB2312" w:cs="Times New Roman"/>
          <w:color w:val="000000"/>
          <w:sz w:val="32"/>
          <w:szCs w:val="32"/>
          <w:highlight w:val="none"/>
          <w:lang w:val="en-US" w:eastAsia="zh-CN"/>
        </w:rPr>
      </w:pPr>
    </w:p>
    <w:p>
      <w:pPr>
        <w:pStyle w:val="2"/>
        <w:rPr>
          <w:rFonts w:hint="default" w:ascii="宋体" w:hAnsi="宋体" w:eastAsia="仿宋_GB2312" w:cs="Times New Roman"/>
          <w:color w:val="000000"/>
          <w:sz w:val="32"/>
          <w:szCs w:val="32"/>
          <w:highlight w:val="none"/>
          <w:lang w:val="en-US" w:eastAsia="zh-CN"/>
        </w:rPr>
      </w:pPr>
    </w:p>
    <w:p>
      <w:pPr>
        <w:rPr>
          <w:rFonts w:hint="default" w:ascii="宋体" w:hAnsi="宋体" w:eastAsia="仿宋_GB2312" w:cs="Times New Roman"/>
          <w:color w:val="000000"/>
          <w:sz w:val="32"/>
          <w:szCs w:val="32"/>
          <w:highlight w:val="none"/>
          <w:lang w:val="en-US" w:eastAsia="zh-CN"/>
        </w:rPr>
      </w:pPr>
    </w:p>
    <w:p>
      <w:pPr>
        <w:pStyle w:val="2"/>
        <w:rPr>
          <w:rFonts w:hint="default" w:ascii="宋体" w:hAnsi="宋体" w:eastAsia="仿宋_GB2312" w:cs="Times New Roman"/>
          <w:color w:val="000000"/>
          <w:sz w:val="32"/>
          <w:szCs w:val="32"/>
          <w:highlight w:val="none"/>
          <w:lang w:val="en-US" w:eastAsia="zh-CN"/>
        </w:rPr>
      </w:pPr>
    </w:p>
    <w:p>
      <w:pPr>
        <w:rPr>
          <w:rFonts w:hint="default" w:ascii="宋体" w:hAnsi="宋体" w:eastAsia="仿宋_GB2312" w:cs="Times New Roman"/>
          <w:color w:val="000000"/>
          <w:sz w:val="32"/>
          <w:szCs w:val="32"/>
          <w:highlight w:val="none"/>
          <w:lang w:val="en-US" w:eastAsia="zh-CN"/>
        </w:rPr>
      </w:pPr>
    </w:p>
    <w:p>
      <w:pPr>
        <w:pStyle w:val="2"/>
        <w:rPr>
          <w:rFonts w:hint="default" w:ascii="宋体" w:hAnsi="宋体" w:eastAsia="仿宋_GB2312" w:cs="Times New Roman"/>
          <w:color w:val="000000"/>
          <w:sz w:val="32"/>
          <w:szCs w:val="32"/>
          <w:highlight w:val="none"/>
          <w:lang w:val="en-US" w:eastAsia="zh-CN"/>
        </w:rPr>
      </w:pPr>
    </w:p>
    <w:p>
      <w:pPr>
        <w:rPr>
          <w:rFonts w:hint="default" w:ascii="宋体" w:hAnsi="宋体" w:eastAsia="仿宋_GB2312" w:cs="Times New Roman"/>
          <w:color w:val="000000"/>
          <w:sz w:val="32"/>
          <w:szCs w:val="32"/>
          <w:highlight w:val="none"/>
          <w:lang w:val="en-US" w:eastAsia="zh-CN"/>
        </w:rPr>
      </w:pPr>
    </w:p>
    <w:p>
      <w:pPr>
        <w:pStyle w:val="2"/>
        <w:rPr>
          <w:rFonts w:hint="default" w:ascii="宋体" w:hAnsi="宋体" w:eastAsia="仿宋_GB2312" w:cs="Times New Roman"/>
          <w:color w:val="000000"/>
          <w:sz w:val="32"/>
          <w:szCs w:val="32"/>
          <w:highlight w:val="none"/>
          <w:lang w:val="en-US" w:eastAsia="zh-CN"/>
        </w:rPr>
      </w:pPr>
    </w:p>
    <w:p>
      <w:pPr>
        <w:rPr>
          <w:rFonts w:ascii="宋体" w:hAnsi="宋体"/>
        </w:rPr>
        <w:sectPr>
          <w:footerReference r:id="rId3" w:type="default"/>
          <w:pgSz w:w="11906" w:h="16838"/>
          <w:pgMar w:top="2098" w:right="1474" w:bottom="2098" w:left="1587" w:header="851" w:footer="992" w:gutter="0"/>
          <w:cols w:space="0" w:num="1"/>
          <w:docGrid w:type="lines" w:linePitch="444" w:charSpace="0"/>
        </w:sectPr>
      </w:pPr>
    </w:p>
    <w:tbl>
      <w:tblPr>
        <w:tblStyle w:val="4"/>
        <w:tblW w:w="159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85"/>
        <w:gridCol w:w="2040"/>
        <w:gridCol w:w="1920"/>
        <w:gridCol w:w="2190"/>
        <w:gridCol w:w="2520"/>
        <w:gridCol w:w="840"/>
        <w:gridCol w:w="1080"/>
        <w:gridCol w:w="1080"/>
        <w:gridCol w:w="1080"/>
        <w:gridCol w:w="22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5915"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黑体" w:hAnsi="宋体" w:eastAsia="黑体" w:cs="黑体"/>
                <w:i w:val="0"/>
                <w:iCs w:val="0"/>
                <w:color w:val="000000"/>
                <w:sz w:val="32"/>
                <w:szCs w:val="32"/>
                <w:u w:val="none"/>
              </w:rPr>
            </w:pPr>
            <w:r>
              <w:rPr>
                <w:rStyle w:val="6"/>
                <w:rFonts w:eastAsia="黑体"/>
                <w:lang w:val="en-US" w:eastAsia="zh-CN" w:bidi="ar"/>
              </w:rPr>
              <w:t xml:space="preserve"> </w:t>
            </w:r>
            <w:r>
              <w:rPr>
                <w:rStyle w:val="7"/>
                <w:lang w:val="en-US" w:eastAsia="zh-CN" w:bidi="ar"/>
              </w:rPr>
              <w:t>附件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5915" w:type="dxa"/>
            <w:gridSpan w:val="10"/>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威海市公立医疗机构部分医疗服务项目价格表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jc w:val="center"/>
        </w:trPr>
        <w:tc>
          <w:tcPr>
            <w:tcW w:w="88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序号</w:t>
            </w:r>
          </w:p>
        </w:tc>
        <w:tc>
          <w:tcPr>
            <w:tcW w:w="20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项目编码</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项目名称</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服务产出</w:t>
            </w:r>
          </w:p>
        </w:tc>
        <w:tc>
          <w:tcPr>
            <w:tcW w:w="25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价格构成</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计价单位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价格（元）</w:t>
            </w: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计价说明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20" w:hRule="atLeast"/>
          <w:jc w:val="center"/>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20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25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三级</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二级</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000000"/>
                <w:sz w:val="28"/>
                <w:szCs w:val="28"/>
                <w:u w:val="none"/>
              </w:rPr>
            </w:pPr>
            <w:r>
              <w:rPr>
                <w:rFonts w:hint="eastAsia" w:ascii="黑体" w:hAnsi="宋体" w:eastAsia="黑体" w:cs="黑体"/>
                <w:i w:val="0"/>
                <w:iCs w:val="0"/>
                <w:color w:val="000000"/>
                <w:kern w:val="0"/>
                <w:sz w:val="28"/>
                <w:szCs w:val="28"/>
                <w:u w:val="none"/>
                <w:lang w:val="en-US" w:eastAsia="zh-CN" w:bidi="ar"/>
              </w:rPr>
              <w:t>一级</w:t>
            </w: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黑体" w:hAnsi="宋体" w:eastAsia="黑体" w:cs="黑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011102020010000</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门诊诊查费（普通门诊）</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指主治及以下医师提供技术劳务的门诊诊查服务，包含为患者提供从建档、了解病情和患者基本情况、阅读检查检验结果、分析诊断、制定诊疗方案或提出下一步诊断建议的医疗服务。</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定价格涵盖首诊建档、信息核实、询问病情、采集病史、查体、一般物理检查、阅读分析检查检验结果、评估病情、诊断、制定诊疗方案、向患者或家属告知、开具处方和治疗单、开具检查检验单、病历书写等所需的人力资源和基本物质资源消耗。</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011102020010001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门诊诊查费（普通门诊）-副主任医师（加收）</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011102020010002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门诊诊查费（普通门诊）-主任医师（加收）</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503"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011102020030000</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门诊诊查费（药学门诊）</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指卫生主管部门认定具有药学门诊资质的临床药师，提供技术劳务的门诊药学/中药学服务，包含为患者提供从药学/中药学咨询到用药指导，制定用药方案的药学服务。</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所定价格涵盖核实信息、药学咨询、评估用药情况、开展药学指导、制定用药方案、干预或提出药物重整建议、建立药历等所需的人力资源和基本物质资源消耗。</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本项目的药学服务涵盖西药、中药及民族药。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011102020030001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门诊诊查费（药学门诊）-副主任（中）药师（加收）</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011102020030002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门诊诊查费（药学门诊）-主任（中）药师（加收）</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16</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011102020040000</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门诊诊查费（护理门诊）</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指主管护师及以上护理人员提供技术劳务的门诊护理服务，包含为患者提供从护理咨询到护理查体评估，制定护理方案的护理服务。</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所定价格涵盖核实信息，护理服务、护理咨询、护理查体评估、护理指导及制定护理方案、护理记录等所需的人力资源和基本物质资源消耗。</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收费范围限国家卫生健康主管部门准许开展的护理门诊。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0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011102040020000</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互联网诊查费（复诊）</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指医务人员通过互联网医疗服务平台提供技术劳务的复诊诊疗服务，包含为患者提供从问诊到诊断，制定诊疗方案或提出下一步诊疗建议。</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所定价格涵盖信息核实、在线问诊、查阅既往病历及检查报告、记录分析、制定诊疗方案或建议，必要时在线开具处方等所需的人力资源和基本物质资源消耗。</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1.收费范围限国家卫生健康主管部门准许通过互联网方式开展的复诊服务。2.公立医疗机构开展互联网复诊，由不同级别医务人员提供服务，均按普通门诊诊查类项目价格收费。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120400007</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小儿头皮静脉输液</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2瓶（含2瓶）以上每瓶加收1元;使用微量泵或输液每泵每小时加收2元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120500001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大清创（缝合）</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7针以上或伤口长度大于10厘米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120500002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中清创（缝合）</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4-6针或伤口长度5-10厘米(含10厘米）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121600002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膀胱冲洗</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特殊一次性耗材</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121700001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肛管排气</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270200003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细针穿刺细胞学检查与诊断</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指各种实质性脏器的细针穿刺标本的涂片(压片)检查及诊断</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例</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270500001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特殊染色及酶组织化学染色诊断</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每标本，每种染色</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310603002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无创辅助通气</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包括持续气道正压(CPAP)、双水平气道正压(BIPAP)</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小时</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310605005</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经纤支镜透支气管壁肺活检术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每个部位</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310607005</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舱内抢救</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310800001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骨髓穿刺术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310800002</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骨髓活检术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310905003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肝穿刺术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含活检</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126</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330100014</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特殊方法气管插管术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包括经鼻腔、经口盲探、逆行法；包括纤维喉镜、气管镜置管。</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气管导管</w:t>
            </w: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144</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可视内镜引导下气管插管加收270元。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330300007</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甲状腺穿刺活检术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包括注射、抽液；不含B超引导</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330701003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环甲膜穿刺术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含环甲膜置管和注药</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330900001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淋巴结穿刺术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330900013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肢体淋巴管-静脉吻合术</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每支吻合血管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1021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907</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88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20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13306090050000</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口腔内植骨费（复杂）</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通过上颌窦外提升植骨（开窗法）、牙槽嵴块状自体骨移植等手术方式，对重度牙槽嵴萎缩或上颌窦底骨量增加，达到可种植条件。所定价格涵盖方案设计、术前准备、手术入路，组织切开，自体骨移植、植骨，关闭缝合受植区及术后复查处置等的人力资源和基本物资消耗。</w:t>
            </w:r>
          </w:p>
        </w:tc>
        <w:tc>
          <w:tcPr>
            <w:tcW w:w="252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牙位</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2565</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2309</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2052</w:t>
            </w: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1.上颌窦囊肿摘除加收10%；2.口腔以外其他部位取骨加收50%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820" w:hRule="atLeast"/>
          <w:jc w:val="center"/>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0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left"/>
              <w:rPr>
                <w:rFonts w:hint="eastAsia" w:ascii="宋体" w:hAnsi="宋体" w:eastAsia="宋体" w:cs="宋体"/>
                <w:i w:val="0"/>
                <w:iCs w:val="0"/>
                <w:color w:val="000000"/>
                <w:sz w:val="24"/>
                <w:szCs w:val="24"/>
                <w:u w:val="none"/>
              </w:rPr>
            </w:pP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left"/>
              <w:rPr>
                <w:rFonts w:hint="eastAsia" w:ascii="宋体" w:hAnsi="宋体" w:eastAsia="宋体" w:cs="宋体"/>
                <w:i w:val="0"/>
                <w:iCs w:val="0"/>
                <w:color w:val="000000"/>
                <w:sz w:val="24"/>
                <w:szCs w:val="24"/>
                <w:u w:val="none"/>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120800001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鼻饲管置管</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注食、注药收1.4元，十二指肠灌注收11元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250102007a</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尿本-周氏蛋白定性检查(热沉淀法)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250104013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前列腺液常规检查</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含外观和镜检</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250202016</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高铁血红蛋白还原试验(MHB—RT)</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250301011</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脑脊液寡克隆电泳分析</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包括血寡克隆电泳分析</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250302007a</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血清唾液酸测定(免疫法)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250305018b</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血清Ⅳ型胶原测定(化学发光法)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250305019b</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血清Ⅲ型胶原测定(化学发光法)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250305020b</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血清层粘连蛋白测定(化学发光法)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250305022b</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血清透明质酸酶测定(化学发光法)</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250307024</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尿尿酸测定</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250402023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抗子宫内膜抗体测定(EMAb)</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250402024</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抗精子抗体测定</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250403033</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流行性出血热病毒抗体测定</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包括IgG、IgM</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每项测定计费一次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250403079</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13碳尿素呼气试验</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135</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425" w:hRule="atLeast"/>
          <w:jc w:val="center"/>
        </w:trPr>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310800024</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细胞因子活化杀伤(CIK)细胞输注治疗</w:t>
            </w:r>
          </w:p>
        </w:tc>
        <w:tc>
          <w:tcPr>
            <w:tcW w:w="21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含药物加无血清培养基、体外细胞培养；包括树突状细胞治疗(DC)、基因修饰的细胞治疗</w:t>
            </w:r>
          </w:p>
        </w:tc>
        <w:tc>
          <w:tcPr>
            <w:tcW w:w="25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2340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1872</w:t>
            </w:r>
          </w:p>
        </w:tc>
        <w:tc>
          <w:tcPr>
            <w:tcW w:w="22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LAK细胞治疗由医疗机构自主定价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w:t>
            </w:r>
          </w:p>
        </w:tc>
        <w:tc>
          <w:tcPr>
            <w:tcW w:w="20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311201001a</w:t>
            </w:r>
          </w:p>
        </w:tc>
        <w:tc>
          <w:tcPr>
            <w:tcW w:w="1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宫颈癌筛查光电探测法（初善仪TS）</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含一次性探头</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4"/>
                <w:szCs w:val="24"/>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次</w:t>
            </w: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324</w:t>
            </w: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2"/>
                <w:szCs w:val="22"/>
                <w:u w:val="none"/>
                <w:lang w:val="en"/>
              </w:rPr>
            </w:pPr>
            <w:r>
              <w:rPr>
                <w:rFonts w:hint="default" w:ascii="宋体" w:hAnsi="宋体" w:eastAsia="宋体" w:cs="宋体"/>
                <w:i w:val="0"/>
                <w:iCs w:val="0"/>
                <w:color w:val="000000"/>
                <w:kern w:val="0"/>
                <w:sz w:val="22"/>
                <w:szCs w:val="22"/>
                <w:u w:val="none"/>
                <w:lang w:val="en" w:eastAsia="zh-CN" w:bidi="ar"/>
              </w:rPr>
              <w:t>324</w:t>
            </w: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宋体" w:hAnsi="宋体" w:eastAsia="宋体" w:cs="宋体"/>
                <w:i w:val="0"/>
                <w:iCs w:val="0"/>
                <w:color w:val="000000"/>
                <w:sz w:val="22"/>
                <w:szCs w:val="22"/>
                <w:u w:val="none"/>
                <w:lang w:val="en"/>
              </w:rPr>
            </w:pPr>
            <w:r>
              <w:rPr>
                <w:rFonts w:hint="default" w:ascii="宋体" w:hAnsi="宋体" w:eastAsia="宋体" w:cs="宋体"/>
                <w:i w:val="0"/>
                <w:iCs w:val="0"/>
                <w:color w:val="000000"/>
                <w:kern w:val="0"/>
                <w:sz w:val="22"/>
                <w:szCs w:val="22"/>
                <w:u w:val="none"/>
                <w:lang w:val="en" w:eastAsia="zh-CN" w:bidi="ar"/>
              </w:rPr>
              <w:t>324</w:t>
            </w:r>
          </w:p>
        </w:tc>
        <w:tc>
          <w:tcPr>
            <w:tcW w:w="0" w:type="auto"/>
            <w:tcBorders>
              <w:top w:val="nil"/>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i w:val="0"/>
                <w:iCs w:val="0"/>
                <w:color w:val="000000"/>
                <w:sz w:val="22"/>
                <w:szCs w:val="22"/>
                <w:u w:val="none"/>
              </w:rPr>
            </w:pPr>
          </w:p>
        </w:tc>
      </w:tr>
    </w:tbl>
    <w:p>
      <w:pPr>
        <w:pStyle w:val="2"/>
      </w:pPr>
    </w:p>
    <w:sectPr>
      <w:pgSz w:w="16838" w:h="11906" w:orient="landscape"/>
      <w:pgMar w:top="1587" w:right="2098" w:bottom="1474" w:left="2098" w:header="851" w:footer="992" w:gutter="0"/>
      <w:cols w:space="0" w:num="1"/>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2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-142875</wp:posOffset>
              </wp:positionV>
              <wp:extent cx="1057275" cy="390525"/>
              <wp:effectExtent l="0" t="0" r="0" b="0"/>
              <wp:wrapNone/>
              <wp:docPr id="4097" name="文本框 2"/>
              <wp:cNvGraphicFramePr/>
              <a:graphic xmlns:a="http://schemas.openxmlformats.org/drawingml/2006/main">
                <a:graphicData uri="http://schemas.microsoft.com/office/word/2010/wordprocessingShape">
                  <wps:wsp>
                    <wps:cNvSpPr/>
                    <wps:spPr>
                      <a:xfrm>
                        <a:off x="0" y="0"/>
                        <a:ext cx="1057275" cy="390525"/>
                      </a:xfrm>
                      <a:prstGeom prst="rect">
                        <a:avLst/>
                      </a:prstGeom>
                      <a:ln>
                        <a:noFill/>
                      </a:ln>
                    </wps:spPr>
                    <wps:txbx>
                      <w:txbxContent>
                        <w:p>
                          <w:pPr>
                            <w:pStyle w:val="3"/>
                            <w:jc w:val="center"/>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square" lIns="0" tIns="0" rIns="0" bIns="0" anchor="t">
                      <a:noAutofit/>
                    </wps:bodyPr>
                  </wps:wsp>
                </a:graphicData>
              </a:graphic>
            </wp:anchor>
          </w:drawing>
        </mc:Choice>
        <mc:Fallback>
          <w:pict>
            <v:rect id="文本框 2" o:spid="_x0000_s1026" o:spt="1" style="position:absolute;left:0pt;margin-top:-11.25pt;height:30.75pt;width:83.25pt;mso-position-horizontal:outside;mso-position-horizontal-relative:margin;z-index:251659264;mso-width-relative:page;mso-height-relative:page;" filled="f" stroked="f" coordsize="21600,21600" o:gfxdata="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FgAAAGRycy9QSwECFAAUAAAACACHTuJAAunTMNgAAAAHAQAADwAAAAAAAAABACAAAAA4AAAAZHJz&#10;L2Rvd25yZXYueG1sUEsBAhQAFAAAAAgAh07iQKV4j1S1AQAARQMAAA4AAAAAAAAAAQAgAAAAPQEA&#10;AGRycy9lMm9Eb2MueG1sUEsFBgAAAAAGAAYAWQEAAGQFAAAAAA==&#10;">
              <v:fill on="f" focussize="0,0"/>
              <v:stroke on="f"/>
              <v:imagedata o:title=""/>
              <o:lock v:ext="edit" aspectratio="f"/>
              <v:textbox inset="0mm,0mm,0mm,0mm">
                <w:txbxContent>
                  <w:p>
                    <w:pPr>
                      <w:pStyle w:val="3"/>
                      <w:jc w:val="center"/>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3BD715"/>
    <w:rsid w:val="2BD61F18"/>
    <w:rsid w:val="39BA499A"/>
    <w:rsid w:val="45216F32"/>
    <w:rsid w:val="566BBF42"/>
    <w:rsid w:val="595C3483"/>
    <w:rsid w:val="759F54E4"/>
    <w:rsid w:val="77FBAA5E"/>
    <w:rsid w:val="FAFBFE05"/>
    <w:rsid w:val="FB5F12ED"/>
    <w:rsid w:val="FDEF9CC4"/>
    <w:rsid w:val="FEFE1213"/>
    <w:rsid w:val="FFBDBABA"/>
    <w:rsid w:val="FFBF5E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qFormat/>
    <w:uiPriority w:val="0"/>
  </w:style>
  <w:style w:type="table" w:default="1" w:styleId="4">
    <w:name w:val="Normal Table"/>
    <w:qFormat/>
    <w:uiPriority w:val="0"/>
    <w:tblPr>
      <w:tblCellMar>
        <w:top w:w="0" w:type="dxa"/>
        <w:left w:w="108" w:type="dxa"/>
        <w:bottom w:w="0" w:type="dxa"/>
        <w:right w:w="108" w:type="dxa"/>
      </w:tblCellMar>
    </w:tblPr>
  </w:style>
  <w:style w:type="paragraph" w:styleId="2">
    <w:name w:val="toc 1"/>
    <w:basedOn w:val="1"/>
    <w:next w:val="1"/>
    <w:qFormat/>
    <w:uiPriority w:val="0"/>
    <w:rPr>
      <w:rFonts w:ascii="Calibri" w:hAnsi="Calibri" w:eastAsia="宋体"/>
      <w:sz w:val="21"/>
    </w:rPr>
  </w:style>
  <w:style w:type="paragraph" w:styleId="3">
    <w:name w:val="footer"/>
    <w:basedOn w:val="1"/>
    <w:qFormat/>
    <w:uiPriority w:val="99"/>
    <w:pPr>
      <w:tabs>
        <w:tab w:val="center" w:pos="4153"/>
        <w:tab w:val="right" w:pos="8306"/>
      </w:tabs>
      <w:snapToGrid w:val="0"/>
    </w:pPr>
    <w:rPr>
      <w:sz w:val="18"/>
      <w:szCs w:val="18"/>
    </w:rPr>
  </w:style>
  <w:style w:type="character" w:customStyle="1" w:styleId="6">
    <w:name w:val="font81"/>
    <w:basedOn w:val="5"/>
    <w:qFormat/>
    <w:uiPriority w:val="0"/>
    <w:rPr>
      <w:rFonts w:ascii="Arial" w:hAnsi="Arial" w:cs="Arial"/>
      <w:color w:val="000000"/>
      <w:sz w:val="32"/>
      <w:szCs w:val="32"/>
      <w:u w:val="none"/>
    </w:rPr>
  </w:style>
  <w:style w:type="character" w:customStyle="1" w:styleId="7">
    <w:name w:val="font11"/>
    <w:basedOn w:val="5"/>
    <w:qFormat/>
    <w:uiPriority w:val="0"/>
    <w:rPr>
      <w:rFonts w:hint="eastAsia" w:ascii="黑体" w:hAnsi="宋体" w:eastAsia="黑体" w:cs="黑体"/>
      <w:color w:val="00000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2380</Words>
  <Characters>3031</Characters>
  <Paragraphs>40</Paragraphs>
  <TotalTime>73</TotalTime>
  <ScaleCrop>false</ScaleCrop>
  <LinksUpToDate>false</LinksUpToDate>
  <CharactersWithSpaces>3061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2018-07-14T07:11:00Z</dcterms:created>
  <dc:creator>d</dc:creator>
  <cp:lastModifiedBy>user</cp:lastModifiedBy>
  <cp:lastPrinted>2026-01-23T01:48:00Z</cp:lastPrinted>
  <dcterms:modified xsi:type="dcterms:W3CDTF">2026-01-23T09:22:55Z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16355799fb8e404b8d5e61d5e134cb80_22</vt:lpwstr>
  </property>
  <property fmtid="{D5CDD505-2E9C-101B-9397-08002B2CF9AE}" pid="4" name="KSOTemplateDocerSaveRecord">
    <vt:lpwstr>eyJoZGlkIjoiYWI0MDU0MGI2M2RiNzUyY2MyNTIwZWY5YjMwYzJhYjEiLCJ1c2VySWQiOiI2ODQyOTY1In0=</vt:lpwstr>
  </property>
</Properties>
</file>